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E0" w:rsidRPr="00385908" w:rsidRDefault="00EE5F26" w:rsidP="000F59A9">
      <w:pPr>
        <w:spacing w:after="0" w:line="360" w:lineRule="auto"/>
        <w:jc w:val="center"/>
        <w:rPr>
          <w:b/>
          <w:sz w:val="24"/>
          <w:szCs w:val="24"/>
        </w:rPr>
      </w:pPr>
      <w:r w:rsidRPr="00385908">
        <w:rPr>
          <w:b/>
          <w:sz w:val="24"/>
          <w:szCs w:val="24"/>
        </w:rPr>
        <w:t>Észrevételek</w:t>
      </w:r>
    </w:p>
    <w:p w:rsidR="00EE5F26" w:rsidRPr="00385908" w:rsidRDefault="00EE5F26" w:rsidP="000F59A9">
      <w:pPr>
        <w:spacing w:after="0" w:line="360" w:lineRule="auto"/>
        <w:jc w:val="center"/>
        <w:rPr>
          <w:rFonts w:cs="TimesNewRomanPS-BoldMT"/>
          <w:b/>
          <w:bCs/>
          <w:sz w:val="24"/>
          <w:szCs w:val="24"/>
        </w:rPr>
      </w:pPr>
      <w:proofErr w:type="gramStart"/>
      <w:r w:rsidRPr="00385908">
        <w:rPr>
          <w:b/>
          <w:sz w:val="24"/>
          <w:szCs w:val="24"/>
        </w:rPr>
        <w:t>az</w:t>
      </w:r>
      <w:proofErr w:type="gramEnd"/>
      <w:r w:rsidRPr="00385908">
        <w:rPr>
          <w:b/>
          <w:sz w:val="24"/>
          <w:szCs w:val="24"/>
        </w:rPr>
        <w:t xml:space="preserve"> ODT által készített „</w:t>
      </w:r>
      <w:r w:rsidRPr="00385908">
        <w:rPr>
          <w:rFonts w:cs="TimesNewRomanPS-BoldMT"/>
          <w:b/>
          <w:bCs/>
          <w:sz w:val="24"/>
          <w:szCs w:val="24"/>
        </w:rPr>
        <w:t>Javaslat tudományági habilitációs követelmények megfogalmazására” című anyagra</w:t>
      </w:r>
    </w:p>
    <w:p w:rsidR="00EE5F26" w:rsidRPr="00385908" w:rsidRDefault="00EE5F26" w:rsidP="000F59A9">
      <w:pPr>
        <w:spacing w:after="0" w:line="360" w:lineRule="auto"/>
        <w:rPr>
          <w:rFonts w:cs="TimesNewRomanPS-BoldMT"/>
          <w:bCs/>
          <w:sz w:val="24"/>
          <w:szCs w:val="24"/>
        </w:rPr>
      </w:pPr>
    </w:p>
    <w:p w:rsidR="00DA5333" w:rsidRPr="00385908" w:rsidRDefault="00EE5F26" w:rsidP="000F59A9">
      <w:pPr>
        <w:spacing w:after="0" w:line="360" w:lineRule="auto"/>
        <w:jc w:val="both"/>
        <w:rPr>
          <w:rFonts w:cs="TimesNewRomanPS-BoldMT"/>
          <w:bCs/>
          <w:sz w:val="24"/>
          <w:szCs w:val="24"/>
        </w:rPr>
      </w:pPr>
      <w:r w:rsidRPr="00385908">
        <w:rPr>
          <w:rFonts w:cs="TimesNewRomanPS-BoldMT"/>
          <w:bCs/>
          <w:sz w:val="24"/>
          <w:szCs w:val="24"/>
        </w:rPr>
        <w:t>Megítélés</w:t>
      </w:r>
      <w:r w:rsidR="001B09EC" w:rsidRPr="00385908">
        <w:rPr>
          <w:rFonts w:cs="TimesNewRomanPS-BoldMT"/>
          <w:bCs/>
          <w:sz w:val="24"/>
          <w:szCs w:val="24"/>
        </w:rPr>
        <w:t>ünk s</w:t>
      </w:r>
      <w:r w:rsidRPr="00385908">
        <w:rPr>
          <w:rFonts w:cs="TimesNewRomanPS-BoldMT"/>
          <w:bCs/>
          <w:sz w:val="24"/>
          <w:szCs w:val="24"/>
        </w:rPr>
        <w:t xml:space="preserve">zerint a habilitációs feltételek jogszabályban meghatározott normatív feltételei kellő absztraktsági fokon rögzítik a követelményeket, amelyek egyedi esetekben való alkalmazása természetszerűleg és elkerülhetetlenül hordoz magában eltéréseket. </w:t>
      </w:r>
      <w:r w:rsidR="00DC6409" w:rsidRPr="00385908">
        <w:rPr>
          <w:rFonts w:cs="TimesNewRomanPS-BoldMT"/>
          <w:bCs/>
          <w:sz w:val="24"/>
          <w:szCs w:val="24"/>
        </w:rPr>
        <w:t xml:space="preserve">Ezek az eltérések a habilitáció jogszabályi definíciójából is levezethetőek, hiszen az </w:t>
      </w:r>
      <w:proofErr w:type="spellStart"/>
      <w:r w:rsidR="00DC6409" w:rsidRPr="00385908">
        <w:rPr>
          <w:rFonts w:cs="TimesNewRomanPS-BoldMT"/>
          <w:bCs/>
          <w:sz w:val="24"/>
          <w:szCs w:val="24"/>
        </w:rPr>
        <w:t>Nftv</w:t>
      </w:r>
      <w:proofErr w:type="spellEnd"/>
      <w:r w:rsidR="00DC6409" w:rsidRPr="00385908">
        <w:rPr>
          <w:rFonts w:cs="TimesNewRomanPS-BoldMT"/>
          <w:bCs/>
          <w:sz w:val="24"/>
          <w:szCs w:val="24"/>
        </w:rPr>
        <w:t xml:space="preserve">. a </w:t>
      </w:r>
      <w:proofErr w:type="gramStart"/>
      <w:r w:rsidR="00DC6409" w:rsidRPr="00385908">
        <w:rPr>
          <w:rFonts w:cs="TimesNewRomanPS-BoldMT"/>
          <w:bCs/>
          <w:sz w:val="24"/>
          <w:szCs w:val="24"/>
        </w:rPr>
        <w:t>habilitációt</w:t>
      </w:r>
      <w:proofErr w:type="gramEnd"/>
      <w:r w:rsidR="00DC6409" w:rsidRPr="00385908">
        <w:rPr>
          <w:rFonts w:cs="TimesNewRomanPS-BoldMT"/>
          <w:bCs/>
          <w:sz w:val="24"/>
          <w:szCs w:val="24"/>
        </w:rPr>
        <w:t xml:space="preserve"> mint a tudományos és oktatási teljesítmények és képességek intézményi megítélését írja le. Márpedig az intézmények nem egyformák, s valószínűleg nem is lehet reális cél, hogy egyformák legyenek. Ebből ered az is, hogy az egyik intézményben megszerzett habilitáció nem biztos, hogy találkozik egy másik intézmény habilitációval kapcsolatos követelményeivel</w:t>
      </w:r>
      <w:r w:rsidR="00DA5333" w:rsidRPr="00385908">
        <w:rPr>
          <w:rFonts w:cs="TimesNewRomanPS-BoldMT"/>
          <w:bCs/>
          <w:sz w:val="24"/>
          <w:szCs w:val="24"/>
        </w:rPr>
        <w:t xml:space="preserve"> (és itt  nem is feltétlenül színvonalbeli különbségekről, hanem intézményi súlypontokról, hangsúlyokról is szó lehet)</w:t>
      </w:r>
      <w:r w:rsidR="00DC6409" w:rsidRPr="00385908">
        <w:rPr>
          <w:rFonts w:cs="TimesNewRomanPS-BoldMT"/>
          <w:bCs/>
          <w:sz w:val="24"/>
          <w:szCs w:val="24"/>
        </w:rPr>
        <w:t>, így az automatikus és általános elismerése egy</w:t>
      </w:r>
      <w:r w:rsidR="00DA5333" w:rsidRPr="00385908">
        <w:rPr>
          <w:rFonts w:cs="TimesNewRomanPS-BoldMT"/>
          <w:bCs/>
          <w:sz w:val="24"/>
          <w:szCs w:val="24"/>
        </w:rPr>
        <w:t xml:space="preserve"> adott intézményben szerzett habilitációnak nem egyezne a habilitáció fogalmával és céljaival. Megítélésünk szerint a jelenlegi szabályozásból egy ilyen elismerési kötelezettség vagy elvárás nem is vezethető le.</w:t>
      </w:r>
      <w:r w:rsidR="00DC6409" w:rsidRPr="00385908">
        <w:rPr>
          <w:rFonts w:cs="TimesNewRomanPS-BoldMT"/>
          <w:bCs/>
          <w:sz w:val="24"/>
          <w:szCs w:val="24"/>
        </w:rPr>
        <w:t xml:space="preserve"> </w:t>
      </w:r>
    </w:p>
    <w:p w:rsidR="000F59A9" w:rsidRPr="00385908" w:rsidRDefault="000F59A9" w:rsidP="000F59A9">
      <w:pPr>
        <w:spacing w:after="0" w:line="360" w:lineRule="auto"/>
        <w:jc w:val="both"/>
        <w:rPr>
          <w:rFonts w:cs="TimesNewRomanPS-BoldMT"/>
          <w:bCs/>
          <w:sz w:val="24"/>
          <w:szCs w:val="24"/>
        </w:rPr>
      </w:pPr>
    </w:p>
    <w:p w:rsidR="00EE5F26" w:rsidRPr="00385908" w:rsidRDefault="00DA5333" w:rsidP="000F59A9">
      <w:pPr>
        <w:spacing w:after="0" w:line="360" w:lineRule="auto"/>
        <w:jc w:val="both"/>
        <w:rPr>
          <w:rFonts w:cs="TimesNewRomanPS-BoldMT"/>
          <w:bCs/>
          <w:sz w:val="24"/>
          <w:szCs w:val="24"/>
        </w:rPr>
      </w:pPr>
      <w:r w:rsidRPr="00385908">
        <w:rPr>
          <w:rFonts w:cs="TimesNewRomanPS-BoldMT"/>
          <w:bCs/>
          <w:sz w:val="24"/>
          <w:szCs w:val="24"/>
        </w:rPr>
        <w:t xml:space="preserve">Az intézmények közötti </w:t>
      </w:r>
      <w:r w:rsidR="00EE5F26" w:rsidRPr="00385908">
        <w:rPr>
          <w:rFonts w:cs="TimesNewRomanPS-BoldMT"/>
          <w:bCs/>
          <w:sz w:val="24"/>
          <w:szCs w:val="24"/>
        </w:rPr>
        <w:t>eltérések csökkentése természetes módon a habilitációt odaítélő intézmények közötti minőségi különbségek csökkentésével történhetne. Amíg azonban ezek a különbségek nem szűnnek meg, addig a formális követelmények szigorítása több kérdést is felvet:</w:t>
      </w:r>
    </w:p>
    <w:p w:rsidR="005724BE" w:rsidRPr="00385908" w:rsidRDefault="00EE5F26" w:rsidP="000F59A9">
      <w:pPr>
        <w:spacing w:after="0" w:line="360" w:lineRule="auto"/>
        <w:jc w:val="both"/>
        <w:rPr>
          <w:rFonts w:cs="TimesNewRomanPS-BoldMT"/>
          <w:bCs/>
          <w:sz w:val="24"/>
          <w:szCs w:val="24"/>
        </w:rPr>
      </w:pPr>
      <w:r w:rsidRPr="00385908">
        <w:rPr>
          <w:rFonts w:cs="TimesNewRomanPS-BoldMT"/>
          <w:bCs/>
          <w:sz w:val="24"/>
          <w:szCs w:val="24"/>
        </w:rPr>
        <w:t>- Van-e lehetőség arra, hogy a jogszabályi előírásokat nem jogszabályi formában szigorítsuk?</w:t>
      </w:r>
      <w:r w:rsidR="001B09EC" w:rsidRPr="00385908">
        <w:rPr>
          <w:rFonts w:cs="TimesNewRomanPS-BoldMT"/>
          <w:bCs/>
          <w:sz w:val="24"/>
          <w:szCs w:val="24"/>
        </w:rPr>
        <w:t xml:space="preserve"> </w:t>
      </w:r>
      <w:r w:rsidR="00631D4F" w:rsidRPr="00385908">
        <w:rPr>
          <w:rFonts w:cs="TimesNewRomanPS-BoldMT"/>
          <w:bCs/>
          <w:sz w:val="24"/>
          <w:szCs w:val="24"/>
        </w:rPr>
        <w:t xml:space="preserve">A Javaslat a következő megfogalmazással él: </w:t>
      </w:r>
      <w:r w:rsidR="00631D4F" w:rsidRPr="00385908">
        <w:rPr>
          <w:i/>
          <w:sz w:val="24"/>
          <w:szCs w:val="24"/>
        </w:rPr>
        <w:t>Az ODT feladata lehet a tudományági szintű minták meg-fogalmazása és egy olyan konszenzus elérése, mely révén ezek az egyetemi szabályzatokba kerülnek (a habilitációs követelményeket tartalmazó mellékletekbe)</w:t>
      </w:r>
      <w:r w:rsidR="00631D4F" w:rsidRPr="00385908">
        <w:rPr>
          <w:sz w:val="24"/>
          <w:szCs w:val="24"/>
        </w:rPr>
        <w:t xml:space="preserve">. Alapvető kérdés: hogyan és miért kerülnének be a megfogalmazott követelmények az egyetemi szabályzatokba? </w:t>
      </w:r>
      <w:r w:rsidR="005724BE" w:rsidRPr="00385908">
        <w:rPr>
          <w:sz w:val="24"/>
          <w:szCs w:val="24"/>
        </w:rPr>
        <w:t xml:space="preserve">Egyik lehetőség, hogy a javaslat valójában </w:t>
      </w:r>
      <w:r w:rsidR="005724BE" w:rsidRPr="00385908">
        <w:rPr>
          <w:rFonts w:cs="TimesNewRomanPS-BoldMT"/>
          <w:bCs/>
          <w:sz w:val="24"/>
          <w:szCs w:val="24"/>
        </w:rPr>
        <w:t xml:space="preserve">a doktori és habilitációs eljárásról szóló Kormányrendelet </w:t>
      </w:r>
      <w:r w:rsidR="001C0482" w:rsidRPr="00385908">
        <w:rPr>
          <w:rFonts w:cs="TimesNewRomanPS-BoldMT"/>
          <w:bCs/>
          <w:sz w:val="24"/>
          <w:szCs w:val="24"/>
        </w:rPr>
        <w:t>(</w:t>
      </w:r>
      <w:r w:rsidR="001C0482" w:rsidRPr="00385908">
        <w:rPr>
          <w:b/>
          <w:bCs/>
          <w:sz w:val="24"/>
          <w:szCs w:val="24"/>
        </w:rPr>
        <w:t>387/2012. (XII. 19.) Korm. rendelet</w:t>
      </w:r>
      <w:r w:rsidR="001C0482" w:rsidRPr="00385908">
        <w:rPr>
          <w:rFonts w:cs="TimesNewRomanPS-BoldMT"/>
          <w:bCs/>
          <w:sz w:val="24"/>
          <w:szCs w:val="24"/>
        </w:rPr>
        <w:t xml:space="preserve">) </w:t>
      </w:r>
      <w:r w:rsidR="005724BE" w:rsidRPr="00385908">
        <w:rPr>
          <w:rFonts w:cs="TimesNewRomanPS-BoldMT"/>
          <w:bCs/>
          <w:sz w:val="24"/>
          <w:szCs w:val="24"/>
        </w:rPr>
        <w:t>módosítására irányul. Ha így van, akkor ezt egyértelműen meg kell fogalmazni.</w:t>
      </w:r>
      <w:r w:rsidR="00631D4F" w:rsidRPr="00385908">
        <w:rPr>
          <w:sz w:val="24"/>
          <w:szCs w:val="24"/>
        </w:rPr>
        <w:t xml:space="preserve"> </w:t>
      </w:r>
      <w:r w:rsidR="005724BE" w:rsidRPr="00385908">
        <w:rPr>
          <w:sz w:val="24"/>
          <w:szCs w:val="24"/>
        </w:rPr>
        <w:t xml:space="preserve">A másik lehetőség, hogy az OTD követni akarja a </w:t>
      </w:r>
      <w:r w:rsidR="001B09EC" w:rsidRPr="00385908">
        <w:rPr>
          <w:rFonts w:cs="TimesNewRomanPS-BoldMT"/>
          <w:bCs/>
          <w:sz w:val="24"/>
          <w:szCs w:val="24"/>
        </w:rPr>
        <w:t>MAB tevékenység</w:t>
      </w:r>
      <w:r w:rsidR="005724BE" w:rsidRPr="00385908">
        <w:rPr>
          <w:rFonts w:cs="TimesNewRomanPS-BoldMT"/>
          <w:bCs/>
          <w:sz w:val="24"/>
          <w:szCs w:val="24"/>
        </w:rPr>
        <w:t xml:space="preserve">ében megjelenő </w:t>
      </w:r>
      <w:r w:rsidR="001B09EC" w:rsidRPr="00385908">
        <w:rPr>
          <w:rFonts w:cs="TimesNewRomanPS-BoldMT"/>
          <w:bCs/>
          <w:sz w:val="24"/>
          <w:szCs w:val="24"/>
        </w:rPr>
        <w:t xml:space="preserve">példát, </w:t>
      </w:r>
      <w:r w:rsidR="005724BE" w:rsidRPr="00385908">
        <w:rPr>
          <w:rFonts w:cs="TimesNewRomanPS-BoldMT"/>
          <w:bCs/>
          <w:sz w:val="24"/>
          <w:szCs w:val="24"/>
        </w:rPr>
        <w:t>azaz jogszabályi felhatalmazás nélkül ír elő követelményeket</w:t>
      </w:r>
      <w:r w:rsidR="000A467A" w:rsidRPr="00385908">
        <w:rPr>
          <w:rFonts w:cs="TimesNewRomanPS-BoldMT"/>
          <w:bCs/>
          <w:sz w:val="24"/>
          <w:szCs w:val="24"/>
        </w:rPr>
        <w:t xml:space="preserve"> (hogy ez egy esetlege bírósági eljárásban védhető lenne – erősen kétséges). </w:t>
      </w:r>
      <w:r w:rsidR="005724BE" w:rsidRPr="00385908">
        <w:rPr>
          <w:rFonts w:cs="TimesNewRomanPS-BoldMT"/>
          <w:bCs/>
          <w:sz w:val="24"/>
          <w:szCs w:val="24"/>
        </w:rPr>
        <w:t xml:space="preserve">Ezzel akkor próbálkozhatna, ha </w:t>
      </w:r>
      <w:r w:rsidR="000A467A" w:rsidRPr="00385908">
        <w:rPr>
          <w:rFonts w:cs="TimesNewRomanPS-BoldMT"/>
          <w:bCs/>
          <w:sz w:val="24"/>
          <w:szCs w:val="24"/>
        </w:rPr>
        <w:t xml:space="preserve">praktikusan </w:t>
      </w:r>
      <w:r w:rsidR="005724BE" w:rsidRPr="00385908">
        <w:rPr>
          <w:rFonts w:cs="TimesNewRomanPS-BoldMT"/>
          <w:bCs/>
          <w:sz w:val="24"/>
          <w:szCs w:val="24"/>
        </w:rPr>
        <w:t xml:space="preserve">a habilitáció végső elismeréséhez az </w:t>
      </w:r>
      <w:proofErr w:type="spellStart"/>
      <w:r w:rsidR="005724BE" w:rsidRPr="00385908">
        <w:rPr>
          <w:rFonts w:cs="TimesNewRomanPS-BoldMT"/>
          <w:bCs/>
          <w:sz w:val="24"/>
          <w:szCs w:val="24"/>
        </w:rPr>
        <w:t>OTD-nek</w:t>
      </w:r>
      <w:proofErr w:type="spellEnd"/>
      <w:r w:rsidR="005724BE" w:rsidRPr="00385908">
        <w:rPr>
          <w:rFonts w:cs="TimesNewRomanPS-BoldMT"/>
          <w:bCs/>
          <w:sz w:val="24"/>
          <w:szCs w:val="24"/>
        </w:rPr>
        <w:t xml:space="preserve"> lenne intézményesített köze</w:t>
      </w:r>
      <w:r w:rsidR="000A467A" w:rsidRPr="00385908">
        <w:rPr>
          <w:rFonts w:cs="TimesNewRomanPS-BoldMT"/>
          <w:bCs/>
          <w:sz w:val="24"/>
          <w:szCs w:val="24"/>
        </w:rPr>
        <w:t xml:space="preserve">. Ez azonban nem áll fenn. A habilitáltságot az egyetemek megfelelő szervei mondják ki. </w:t>
      </w:r>
    </w:p>
    <w:p w:rsidR="000F59A9" w:rsidRPr="00385908" w:rsidRDefault="000F59A9" w:rsidP="000F59A9">
      <w:pPr>
        <w:spacing w:after="0" w:line="360" w:lineRule="auto"/>
        <w:jc w:val="both"/>
        <w:rPr>
          <w:rFonts w:cs="TimesNewRomanPS-BoldMT"/>
          <w:bCs/>
          <w:sz w:val="24"/>
          <w:szCs w:val="24"/>
        </w:rPr>
      </w:pPr>
    </w:p>
    <w:p w:rsidR="00EE5F26" w:rsidRPr="00385908" w:rsidRDefault="00EE5F26" w:rsidP="000F59A9">
      <w:pPr>
        <w:spacing w:after="0" w:line="360" w:lineRule="auto"/>
        <w:jc w:val="both"/>
        <w:rPr>
          <w:rFonts w:cs="TimesNewRomanPS-BoldMT"/>
          <w:bCs/>
          <w:sz w:val="24"/>
          <w:szCs w:val="24"/>
        </w:rPr>
      </w:pPr>
      <w:r w:rsidRPr="00385908">
        <w:rPr>
          <w:rFonts w:cs="TimesNewRomanPS-BoldMT"/>
          <w:bCs/>
          <w:sz w:val="24"/>
          <w:szCs w:val="24"/>
        </w:rPr>
        <w:t>- Hogyan lehet számon kérni és kikényszeríteni az intézményektől a követelmények betartását</w:t>
      </w:r>
      <w:r w:rsidR="00FD330B" w:rsidRPr="00385908">
        <w:rPr>
          <w:rFonts w:cs="TimesNewRomanPS-BoldMT"/>
          <w:bCs/>
          <w:sz w:val="24"/>
          <w:szCs w:val="24"/>
        </w:rPr>
        <w:t xml:space="preserve"> – különös tekintettel arra, hogy a javasolt követelményrendszer is tartalmaz helyenként mérlegelésen alapuló értékelési szempontokat</w:t>
      </w:r>
      <w:r w:rsidRPr="00385908">
        <w:rPr>
          <w:rFonts w:cs="TimesNewRomanPS-BoldMT"/>
          <w:bCs/>
          <w:sz w:val="24"/>
          <w:szCs w:val="24"/>
        </w:rPr>
        <w:t>?</w:t>
      </w:r>
    </w:p>
    <w:p w:rsidR="00EE5F26" w:rsidRPr="00385908" w:rsidRDefault="00EE5F26" w:rsidP="000F59A9">
      <w:pPr>
        <w:spacing w:after="0" w:line="360" w:lineRule="auto"/>
        <w:jc w:val="both"/>
        <w:rPr>
          <w:rFonts w:cs="TimesNewRomanPS-BoldMT"/>
          <w:bCs/>
          <w:sz w:val="24"/>
          <w:szCs w:val="24"/>
        </w:rPr>
      </w:pPr>
      <w:r w:rsidRPr="00385908">
        <w:rPr>
          <w:rFonts w:cs="TimesNewRomanPS-BoldMT"/>
          <w:bCs/>
          <w:sz w:val="24"/>
          <w:szCs w:val="24"/>
        </w:rPr>
        <w:t>- Nem vezethet-e a követelmények szigorítása arra, hogy egyes intézményekben ellehetetlenül az akkreditáció?</w:t>
      </w:r>
    </w:p>
    <w:p w:rsidR="00C22EA1" w:rsidRPr="00385908" w:rsidRDefault="00C22EA1" w:rsidP="000F59A9">
      <w:pPr>
        <w:spacing w:after="0" w:line="360" w:lineRule="auto"/>
        <w:jc w:val="both"/>
        <w:rPr>
          <w:rFonts w:cs="TimesNewRomanPS-BoldMT"/>
          <w:bCs/>
          <w:sz w:val="24"/>
          <w:szCs w:val="24"/>
        </w:rPr>
      </w:pPr>
    </w:p>
    <w:p w:rsidR="00FD330B" w:rsidRPr="00385908" w:rsidRDefault="00FD330B" w:rsidP="000F59A9">
      <w:pPr>
        <w:spacing w:after="0" w:line="360" w:lineRule="auto"/>
        <w:jc w:val="both"/>
        <w:rPr>
          <w:rFonts w:cs="TimesNewRomanPS-BoldMT"/>
          <w:bCs/>
          <w:sz w:val="24"/>
          <w:szCs w:val="24"/>
          <w:u w:val="single"/>
        </w:rPr>
      </w:pPr>
      <w:r w:rsidRPr="00385908">
        <w:rPr>
          <w:rFonts w:cs="TimesNewRomanPS-BoldMT"/>
          <w:bCs/>
          <w:sz w:val="24"/>
          <w:szCs w:val="24"/>
          <w:u w:val="single"/>
        </w:rPr>
        <w:t>A részleteket illetően:</w:t>
      </w:r>
    </w:p>
    <w:p w:rsidR="000F59A9" w:rsidRPr="00385908" w:rsidRDefault="000F59A9" w:rsidP="000F59A9">
      <w:pPr>
        <w:spacing w:after="0" w:line="360" w:lineRule="auto"/>
        <w:jc w:val="both"/>
        <w:rPr>
          <w:rFonts w:cs="TimesNewRomanPS-BoldMT"/>
          <w:bCs/>
          <w:sz w:val="24"/>
          <w:szCs w:val="24"/>
        </w:rPr>
      </w:pPr>
    </w:p>
    <w:p w:rsidR="005B1166" w:rsidRPr="00385908" w:rsidRDefault="005B1166" w:rsidP="000F59A9">
      <w:pPr>
        <w:spacing w:after="0" w:line="360" w:lineRule="auto"/>
        <w:jc w:val="both"/>
        <w:rPr>
          <w:sz w:val="24"/>
          <w:szCs w:val="24"/>
        </w:rPr>
      </w:pPr>
      <w:r w:rsidRPr="00385908">
        <w:rPr>
          <w:rFonts w:cs="TimesNewRomanPS-BoldMT"/>
          <w:bCs/>
          <w:sz w:val="24"/>
          <w:szCs w:val="24"/>
        </w:rPr>
        <w:t xml:space="preserve">- a javasolt követelmények </w:t>
      </w:r>
      <w:r w:rsidRPr="00385908">
        <w:rPr>
          <w:rFonts w:cs="TimesNewRomanPS-BoldMT"/>
          <w:b/>
          <w:bCs/>
          <w:sz w:val="24"/>
          <w:szCs w:val="24"/>
        </w:rPr>
        <w:t>1.</w:t>
      </w:r>
      <w:r w:rsidRPr="00385908">
        <w:rPr>
          <w:rFonts w:cs="TimesNewRomanPS-BoldMT"/>
          <w:bCs/>
          <w:sz w:val="24"/>
          <w:szCs w:val="24"/>
        </w:rPr>
        <w:t xml:space="preserve"> pontjában a tudományos követelmények meghatározásában az olvasható, hogy bizonyos „</w:t>
      </w:r>
      <w:r w:rsidRPr="00385908">
        <w:rPr>
          <w:sz w:val="24"/>
          <w:szCs w:val="24"/>
        </w:rPr>
        <w:t xml:space="preserve">ésszerűen kiválasztott” teljesítménymutatók meghatározása szükséges. Ez mindenféle egységesítéssel szembemegy, s így a Javaslat célkitűzésével (egy egységes minimum meghatározása) ellentétes. </w:t>
      </w:r>
    </w:p>
    <w:p w:rsidR="000F59A9" w:rsidRPr="00385908" w:rsidRDefault="000F59A9" w:rsidP="000F59A9">
      <w:pPr>
        <w:spacing w:after="0" w:line="360" w:lineRule="auto"/>
        <w:jc w:val="both"/>
        <w:rPr>
          <w:rFonts w:cs="TimesNewRomanPS-BoldMT"/>
          <w:bCs/>
          <w:sz w:val="24"/>
          <w:szCs w:val="24"/>
        </w:rPr>
      </w:pPr>
    </w:p>
    <w:p w:rsidR="00FD330B" w:rsidRPr="00385908" w:rsidRDefault="00FD330B" w:rsidP="000F59A9">
      <w:pPr>
        <w:spacing w:after="0" w:line="360" w:lineRule="auto"/>
        <w:jc w:val="both"/>
        <w:rPr>
          <w:rFonts w:cs="TimesNewRomanPS-BoldMT"/>
          <w:bCs/>
          <w:sz w:val="24"/>
          <w:szCs w:val="24"/>
        </w:rPr>
      </w:pPr>
      <w:r w:rsidRPr="00385908">
        <w:rPr>
          <w:rFonts w:cs="TimesNewRomanPS-BoldMT"/>
          <w:bCs/>
          <w:sz w:val="24"/>
          <w:szCs w:val="24"/>
        </w:rPr>
        <w:t xml:space="preserve">- A javasolt követelmények </w:t>
      </w:r>
      <w:r w:rsidRPr="00385908">
        <w:rPr>
          <w:rFonts w:cs="TimesNewRomanPS-BoldMT"/>
          <w:b/>
          <w:bCs/>
          <w:sz w:val="24"/>
          <w:szCs w:val="24"/>
        </w:rPr>
        <w:t>2/</w:t>
      </w:r>
      <w:proofErr w:type="gramStart"/>
      <w:r w:rsidRPr="00385908">
        <w:rPr>
          <w:rFonts w:cs="TimesNewRomanPS-BoldMT"/>
          <w:b/>
          <w:bCs/>
          <w:sz w:val="24"/>
          <w:szCs w:val="24"/>
        </w:rPr>
        <w:t>a.</w:t>
      </w:r>
      <w:proofErr w:type="gramEnd"/>
      <w:r w:rsidRPr="00385908">
        <w:rPr>
          <w:rFonts w:cs="TimesNewRomanPS-BoldMT"/>
          <w:bCs/>
          <w:sz w:val="24"/>
          <w:szCs w:val="24"/>
        </w:rPr>
        <w:t xml:space="preserve"> pontjához: Ez a követelmény kizárja a habilitáció lehetőségéből azokat, akik egy felsőoktatási intézményben olyan tárgyat oktatnak, amelyben az adott intézmény nem folytat doktori képzést, s ezért habilitációra sem jogosult. Ezek az oktatók eddig</w:t>
      </w:r>
      <w:r w:rsidR="00187AC8" w:rsidRPr="00385908">
        <w:rPr>
          <w:rFonts w:cs="TimesNewRomanPS-BoldMT"/>
          <w:bCs/>
          <w:sz w:val="24"/>
          <w:szCs w:val="24"/>
        </w:rPr>
        <w:t xml:space="preserve"> választhattak olyan intézményt a habilitációra, ahol megvolt a jogosultság </w:t>
      </w:r>
      <w:r w:rsidR="00C22EA1" w:rsidRPr="00385908">
        <w:rPr>
          <w:rFonts w:cs="TimesNewRomanPS-BoldMT"/>
          <w:bCs/>
          <w:sz w:val="24"/>
          <w:szCs w:val="24"/>
        </w:rPr>
        <w:t>az eljárás lefolytatására</w:t>
      </w:r>
      <w:r w:rsidR="00187AC8" w:rsidRPr="00385908">
        <w:rPr>
          <w:rFonts w:cs="TimesNewRomanPS-BoldMT"/>
          <w:bCs/>
          <w:sz w:val="24"/>
          <w:szCs w:val="24"/>
        </w:rPr>
        <w:t>, de ahol a pályázó nem folytatott oktató tevékenységet.</w:t>
      </w:r>
      <w:r w:rsidR="00C22EA1" w:rsidRPr="00385908">
        <w:rPr>
          <w:rFonts w:cs="TimesNewRomanPS-BoldMT"/>
          <w:bCs/>
          <w:sz w:val="24"/>
          <w:szCs w:val="24"/>
        </w:rPr>
        <w:t xml:space="preserve"> Nem lát</w:t>
      </w:r>
      <w:r w:rsidR="00D232B2" w:rsidRPr="00385908">
        <w:rPr>
          <w:rFonts w:cs="TimesNewRomanPS-BoldMT"/>
          <w:bCs/>
          <w:sz w:val="24"/>
          <w:szCs w:val="24"/>
        </w:rPr>
        <w:t xml:space="preserve">ható </w:t>
      </w:r>
      <w:r w:rsidR="00C22EA1" w:rsidRPr="00385908">
        <w:rPr>
          <w:rFonts w:cs="TimesNewRomanPS-BoldMT"/>
          <w:bCs/>
          <w:sz w:val="24"/>
          <w:szCs w:val="24"/>
        </w:rPr>
        <w:t>be, hogy miért kell korlátozni az eljárást lefolytató intézményt abban, hogy egy másik intézményben folytatott oktatói tevékenységet elfogadjon, illetve mennyiben emelné a habilitációs eljárások megalapozottságát, ha egyetlen félévet az adott intézményben tanít a pályázó.</w:t>
      </w:r>
    </w:p>
    <w:p w:rsidR="000F59A9" w:rsidRPr="00385908" w:rsidRDefault="000F59A9" w:rsidP="000F59A9">
      <w:pPr>
        <w:spacing w:after="0" w:line="360" w:lineRule="auto"/>
        <w:jc w:val="both"/>
        <w:rPr>
          <w:rFonts w:cs="TimesNewRomanPS-BoldMT"/>
          <w:bCs/>
          <w:sz w:val="24"/>
          <w:szCs w:val="24"/>
        </w:rPr>
      </w:pPr>
    </w:p>
    <w:p w:rsidR="008B6F8F" w:rsidRPr="00385908" w:rsidRDefault="008B6F8F" w:rsidP="000F59A9">
      <w:pPr>
        <w:spacing w:after="0" w:line="360" w:lineRule="auto"/>
        <w:jc w:val="both"/>
        <w:rPr>
          <w:sz w:val="24"/>
          <w:szCs w:val="24"/>
        </w:rPr>
      </w:pPr>
      <w:r w:rsidRPr="00385908">
        <w:rPr>
          <w:rFonts w:cs="TimesNewRomanPS-BoldMT"/>
          <w:bCs/>
          <w:sz w:val="24"/>
          <w:szCs w:val="24"/>
        </w:rPr>
        <w:t xml:space="preserve">- A javasolt követelmények </w:t>
      </w:r>
      <w:r w:rsidRPr="00385908">
        <w:rPr>
          <w:rFonts w:cs="TimesNewRomanPS-BoldMT"/>
          <w:b/>
          <w:bCs/>
          <w:sz w:val="24"/>
          <w:szCs w:val="24"/>
        </w:rPr>
        <w:t>2/b.</w:t>
      </w:r>
      <w:r w:rsidRPr="00385908">
        <w:rPr>
          <w:rFonts w:cs="TimesNewRomanPS-BoldMT"/>
          <w:bCs/>
          <w:sz w:val="24"/>
          <w:szCs w:val="24"/>
        </w:rPr>
        <w:t xml:space="preserve"> pontjához: a „</w:t>
      </w:r>
      <w:r w:rsidRPr="00385908">
        <w:rPr>
          <w:sz w:val="24"/>
          <w:szCs w:val="24"/>
        </w:rPr>
        <w:t xml:space="preserve">legalább 1 fokozatot szerzett doktorandusz” kitétel elfogadhatatlanul szigorú, ez a doktori iskolák törzstagságához követelmény. A habilitáció előtt álló valószínűleg adjunktusi státuszban van, s mint ilyen kérdéses, hogy egyáltalán az adott oktatási intézmény lehetővé teszi-e egyáltalán, hogy doktorandusz témavezetését vállalhassa.  </w:t>
      </w:r>
    </w:p>
    <w:p w:rsidR="000F59A9" w:rsidRPr="00385908" w:rsidRDefault="000F59A9" w:rsidP="000F59A9">
      <w:pPr>
        <w:spacing w:after="0" w:line="360" w:lineRule="auto"/>
        <w:jc w:val="both"/>
        <w:rPr>
          <w:rFonts w:cs="TimesNewRomanPS-BoldMT"/>
          <w:bCs/>
          <w:sz w:val="24"/>
          <w:szCs w:val="24"/>
        </w:rPr>
      </w:pPr>
    </w:p>
    <w:p w:rsidR="00187AC8" w:rsidRPr="00385908" w:rsidRDefault="00187AC8" w:rsidP="000F59A9">
      <w:pPr>
        <w:spacing w:after="0" w:line="360" w:lineRule="auto"/>
        <w:jc w:val="both"/>
        <w:rPr>
          <w:rFonts w:cs="TimesNewRomanPS-BoldMT"/>
          <w:bCs/>
          <w:sz w:val="24"/>
          <w:szCs w:val="24"/>
        </w:rPr>
      </w:pPr>
      <w:r w:rsidRPr="00385908">
        <w:rPr>
          <w:rFonts w:cs="TimesNewRomanPS-BoldMT"/>
          <w:bCs/>
          <w:sz w:val="24"/>
          <w:szCs w:val="24"/>
        </w:rPr>
        <w:t xml:space="preserve">- A javasolt követelmények </w:t>
      </w:r>
      <w:r w:rsidRPr="00385908">
        <w:rPr>
          <w:rFonts w:cs="TimesNewRomanPS-BoldMT"/>
          <w:b/>
          <w:bCs/>
          <w:sz w:val="24"/>
          <w:szCs w:val="24"/>
        </w:rPr>
        <w:t>2/e.</w:t>
      </w:r>
      <w:r w:rsidRPr="00385908">
        <w:rPr>
          <w:rFonts w:cs="TimesNewRomanPS-BoldMT"/>
          <w:bCs/>
          <w:sz w:val="24"/>
          <w:szCs w:val="24"/>
        </w:rPr>
        <w:t xml:space="preserve"> pontjához: Ez a követelmény alapvetően a hallgatók és nem az oktató kiválóságát méri. Attól, mert nem került a habilitációra pályázó látó/hatókörébe olyan tehetséges hallgató, aki versenyt nyer, még lehet az oktató alkalmas az oktatói pályára.</w:t>
      </w:r>
    </w:p>
    <w:p w:rsidR="000F59A9" w:rsidRPr="00385908" w:rsidRDefault="000F59A9" w:rsidP="000F59A9">
      <w:pPr>
        <w:spacing w:after="0" w:line="360" w:lineRule="auto"/>
        <w:jc w:val="both"/>
        <w:rPr>
          <w:rFonts w:cs="TimesNewRomanPS-BoldMT"/>
          <w:bCs/>
          <w:sz w:val="24"/>
          <w:szCs w:val="24"/>
        </w:rPr>
      </w:pPr>
    </w:p>
    <w:p w:rsidR="00187AC8" w:rsidRPr="00385908" w:rsidRDefault="00187AC8" w:rsidP="000F59A9">
      <w:pPr>
        <w:spacing w:after="0" w:line="360" w:lineRule="auto"/>
        <w:jc w:val="both"/>
        <w:rPr>
          <w:rFonts w:cs="TimesNewRomanPS-BoldMT"/>
          <w:bCs/>
          <w:sz w:val="24"/>
          <w:szCs w:val="24"/>
        </w:rPr>
      </w:pPr>
      <w:r w:rsidRPr="00385908">
        <w:rPr>
          <w:rFonts w:cs="TimesNewRomanPS-BoldMT"/>
          <w:bCs/>
          <w:sz w:val="24"/>
          <w:szCs w:val="24"/>
        </w:rPr>
        <w:t xml:space="preserve">- A javasolt követelmények </w:t>
      </w:r>
      <w:r w:rsidRPr="00385908">
        <w:rPr>
          <w:rFonts w:cs="TimesNewRomanPS-BoldMT"/>
          <w:b/>
          <w:bCs/>
          <w:sz w:val="24"/>
          <w:szCs w:val="24"/>
        </w:rPr>
        <w:t>3.</w:t>
      </w:r>
      <w:r w:rsidRPr="00385908">
        <w:rPr>
          <w:rFonts w:cs="TimesNewRomanPS-BoldMT"/>
          <w:bCs/>
          <w:sz w:val="24"/>
          <w:szCs w:val="24"/>
        </w:rPr>
        <w:t xml:space="preserve"> pontjához: Ez a követelmény nem egyenlő mércét állít fel, mivel a különböző tudományterületeken a pályázatok, de különösen a kutatási, fejlesztési, innovációs szerződések előfordulása nem azonos. Természettudományos és műszaki területeken a K+F+I tevékenység sokkal intenzívebb, mint például a bölcsészettudomány vagy a társadalomtudományok terén. Ezért veszélyesnek </w:t>
      </w:r>
      <w:r w:rsidR="00182F18" w:rsidRPr="00385908">
        <w:rPr>
          <w:rFonts w:cs="TimesNewRomanPS-BoldMT"/>
          <w:bCs/>
          <w:sz w:val="24"/>
          <w:szCs w:val="24"/>
        </w:rPr>
        <w:t xml:space="preserve">tartjuk </w:t>
      </w:r>
      <w:r w:rsidRPr="00385908">
        <w:rPr>
          <w:rFonts w:cs="TimesNewRomanPS-BoldMT"/>
          <w:bCs/>
          <w:sz w:val="24"/>
          <w:szCs w:val="24"/>
        </w:rPr>
        <w:t>az egységesen felállított követelmény érvényesítését.</w:t>
      </w:r>
    </w:p>
    <w:p w:rsidR="000F59A9" w:rsidRPr="00385908" w:rsidRDefault="000F59A9" w:rsidP="000F59A9">
      <w:pPr>
        <w:spacing w:after="0" w:line="360" w:lineRule="auto"/>
        <w:jc w:val="both"/>
        <w:rPr>
          <w:rFonts w:cs="TimesNewRomanPS-BoldMT"/>
          <w:bCs/>
          <w:sz w:val="24"/>
          <w:szCs w:val="24"/>
        </w:rPr>
      </w:pPr>
    </w:p>
    <w:p w:rsidR="00182F18" w:rsidRPr="00385908" w:rsidRDefault="00C22EA1" w:rsidP="000F59A9">
      <w:pPr>
        <w:spacing w:after="0" w:line="360" w:lineRule="auto"/>
        <w:jc w:val="both"/>
        <w:rPr>
          <w:rFonts w:cs="TimesNewRomanPS-BoldMT"/>
          <w:bCs/>
          <w:sz w:val="24"/>
          <w:szCs w:val="24"/>
        </w:rPr>
      </w:pPr>
      <w:r w:rsidRPr="00385908">
        <w:rPr>
          <w:rFonts w:cs="TimesNewRomanPS-BoldMT"/>
          <w:bCs/>
          <w:sz w:val="24"/>
          <w:szCs w:val="24"/>
        </w:rPr>
        <w:t xml:space="preserve">- A javasolt követelmények </w:t>
      </w:r>
      <w:r w:rsidRPr="00385908">
        <w:rPr>
          <w:rFonts w:cs="TimesNewRomanPS-BoldMT"/>
          <w:b/>
          <w:bCs/>
          <w:sz w:val="24"/>
          <w:szCs w:val="24"/>
        </w:rPr>
        <w:t>4.</w:t>
      </w:r>
      <w:r w:rsidRPr="00385908">
        <w:rPr>
          <w:rFonts w:cs="TimesNewRomanPS-BoldMT"/>
          <w:bCs/>
          <w:sz w:val="24"/>
          <w:szCs w:val="24"/>
        </w:rPr>
        <w:t xml:space="preserve"> pontjához: A Javaslat céljaitól eltérően az itt megjelölt követelmények nem tartalmaznak egzakt, mérhető, számszerűsíthető, objektív módon összevethető elvárásokat.</w:t>
      </w:r>
      <w:r w:rsidR="009F6134" w:rsidRPr="00385908">
        <w:rPr>
          <w:rFonts w:cs="TimesNewRomanPS-BoldMT"/>
          <w:bCs/>
          <w:sz w:val="24"/>
          <w:szCs w:val="24"/>
        </w:rPr>
        <w:t xml:space="preserve"> Továbbá megjegyzendő, hogy lehet követelményként meghatározni olyan tevékenységet (</w:t>
      </w:r>
      <w:r w:rsidR="009F6134" w:rsidRPr="00385908">
        <w:rPr>
          <w:i/>
          <w:sz w:val="24"/>
          <w:szCs w:val="24"/>
        </w:rPr>
        <w:t>felsőoktatási intézményben doktori program/alprogram vezetése</w:t>
      </w:r>
      <w:r w:rsidR="009F6134" w:rsidRPr="00385908">
        <w:rPr>
          <w:sz w:val="24"/>
          <w:szCs w:val="24"/>
        </w:rPr>
        <w:t xml:space="preserve">), mellyel kapcsolatosan </w:t>
      </w:r>
      <w:r w:rsidR="00E17103" w:rsidRPr="00385908">
        <w:rPr>
          <w:sz w:val="24"/>
          <w:szCs w:val="24"/>
        </w:rPr>
        <w:t>felvethető, hogy egy nem habilitált egyáltalán hogy vezethetne doktori programot/alprogramot?</w:t>
      </w:r>
    </w:p>
    <w:p w:rsidR="00182F18" w:rsidRPr="00385908" w:rsidRDefault="00182F18" w:rsidP="000F59A9">
      <w:pPr>
        <w:spacing w:after="0" w:line="360" w:lineRule="auto"/>
        <w:jc w:val="both"/>
        <w:rPr>
          <w:rFonts w:cs="TimesNewRomanPS-BoldMT"/>
          <w:bCs/>
          <w:sz w:val="24"/>
          <w:szCs w:val="24"/>
        </w:rPr>
      </w:pPr>
    </w:p>
    <w:p w:rsidR="00C22EA1" w:rsidRDefault="00C22EA1" w:rsidP="000F59A9">
      <w:pPr>
        <w:spacing w:after="0" w:line="360" w:lineRule="auto"/>
        <w:jc w:val="both"/>
        <w:rPr>
          <w:rFonts w:cs="TimesNewRomanPS-BoldMT"/>
          <w:bCs/>
          <w:sz w:val="24"/>
          <w:szCs w:val="24"/>
        </w:rPr>
      </w:pPr>
      <w:r w:rsidRPr="00385908">
        <w:rPr>
          <w:rFonts w:cs="TimesNewRomanPS-BoldMT"/>
          <w:bCs/>
          <w:sz w:val="24"/>
          <w:szCs w:val="24"/>
        </w:rPr>
        <w:t xml:space="preserve">Budapest, 2015. </w:t>
      </w:r>
      <w:r w:rsidR="007467C7">
        <w:rPr>
          <w:rFonts w:cs="TimesNewRomanPS-BoldMT"/>
          <w:bCs/>
          <w:sz w:val="24"/>
          <w:szCs w:val="24"/>
        </w:rPr>
        <w:t>október 16.</w:t>
      </w:r>
    </w:p>
    <w:p w:rsidR="007467C7" w:rsidRDefault="007467C7" w:rsidP="000F59A9">
      <w:pPr>
        <w:spacing w:after="0" w:line="360" w:lineRule="auto"/>
        <w:jc w:val="both"/>
        <w:rPr>
          <w:rFonts w:cs="TimesNewRomanPS-BoldMT"/>
          <w:bCs/>
          <w:sz w:val="24"/>
          <w:szCs w:val="24"/>
        </w:rPr>
      </w:pPr>
    </w:p>
    <w:p w:rsidR="007467C7" w:rsidRDefault="007467C7" w:rsidP="007467C7">
      <w:pPr>
        <w:spacing w:after="0" w:line="360" w:lineRule="auto"/>
        <w:ind w:left="2832"/>
        <w:jc w:val="both"/>
        <w:rPr>
          <w:rFonts w:cs="TimesNewRomanPS-BoldMT"/>
          <w:bCs/>
          <w:sz w:val="24"/>
          <w:szCs w:val="24"/>
        </w:rPr>
      </w:pPr>
    </w:p>
    <w:p w:rsidR="007467C7" w:rsidRDefault="007467C7" w:rsidP="007467C7">
      <w:pPr>
        <w:spacing w:after="0" w:line="360" w:lineRule="auto"/>
        <w:ind w:left="2832"/>
        <w:jc w:val="center"/>
        <w:rPr>
          <w:rFonts w:cs="TimesNewRomanPS-BoldMT"/>
          <w:bCs/>
          <w:sz w:val="24"/>
          <w:szCs w:val="24"/>
        </w:rPr>
      </w:pPr>
      <w:r>
        <w:rPr>
          <w:rFonts w:cs="TimesNewRomanPS-BoldMT"/>
          <w:bCs/>
          <w:sz w:val="24"/>
          <w:szCs w:val="24"/>
        </w:rPr>
        <w:t>Dr. Kisfaludi András</w:t>
      </w:r>
    </w:p>
    <w:p w:rsidR="007467C7" w:rsidRPr="00385908" w:rsidRDefault="007467C7" w:rsidP="007467C7">
      <w:pPr>
        <w:spacing w:after="0" w:line="360" w:lineRule="auto"/>
        <w:ind w:left="2832"/>
        <w:jc w:val="center"/>
        <w:rPr>
          <w:rFonts w:cs="TimesNewRomanPS-BoldMT"/>
          <w:bCs/>
          <w:sz w:val="24"/>
          <w:szCs w:val="24"/>
        </w:rPr>
      </w:pPr>
      <w:proofErr w:type="gramStart"/>
      <w:r>
        <w:rPr>
          <w:rFonts w:cs="TimesNewRomanPS-BoldMT"/>
          <w:bCs/>
          <w:sz w:val="24"/>
          <w:szCs w:val="24"/>
        </w:rPr>
        <w:t>az</w:t>
      </w:r>
      <w:proofErr w:type="gramEnd"/>
      <w:r>
        <w:rPr>
          <w:rFonts w:cs="TimesNewRomanPS-BoldMT"/>
          <w:bCs/>
          <w:sz w:val="24"/>
          <w:szCs w:val="24"/>
        </w:rPr>
        <w:t xml:space="preserve"> ELTE Egyetemi Habilitációs Bizottság elnöke</w:t>
      </w:r>
    </w:p>
    <w:p w:rsidR="00C22EA1" w:rsidRPr="00385908" w:rsidRDefault="00C22EA1" w:rsidP="007467C7">
      <w:pPr>
        <w:spacing w:after="0" w:line="360" w:lineRule="auto"/>
        <w:jc w:val="center"/>
        <w:rPr>
          <w:rFonts w:cs="TimesNewRomanPS-BoldMT"/>
          <w:bCs/>
          <w:sz w:val="24"/>
          <w:szCs w:val="24"/>
        </w:rPr>
      </w:pPr>
    </w:p>
    <w:p w:rsidR="00C22EA1" w:rsidRPr="00385908" w:rsidRDefault="00C22EA1" w:rsidP="007467C7">
      <w:pPr>
        <w:spacing w:after="0" w:line="360" w:lineRule="auto"/>
        <w:jc w:val="center"/>
        <w:rPr>
          <w:rFonts w:cs="TimesNewRomanPS-BoldMT"/>
          <w:bCs/>
          <w:sz w:val="24"/>
          <w:szCs w:val="24"/>
        </w:rPr>
      </w:pPr>
    </w:p>
    <w:p w:rsidR="00C00269" w:rsidRPr="00385908" w:rsidRDefault="00C00269" w:rsidP="007467C7">
      <w:pPr>
        <w:spacing w:after="0" w:line="360" w:lineRule="auto"/>
        <w:jc w:val="center"/>
        <w:rPr>
          <w:rFonts w:cs="TimesNewRomanPS-BoldMT"/>
          <w:bCs/>
          <w:sz w:val="24"/>
          <w:szCs w:val="24"/>
        </w:rPr>
      </w:pPr>
    </w:p>
    <w:sectPr w:rsidR="00C00269" w:rsidRPr="00385908" w:rsidSect="00247E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A8" w:rsidRDefault="00911AA8" w:rsidP="00385908">
      <w:pPr>
        <w:spacing w:after="0" w:line="240" w:lineRule="auto"/>
      </w:pPr>
      <w:r>
        <w:separator/>
      </w:r>
    </w:p>
  </w:endnote>
  <w:endnote w:type="continuationSeparator" w:id="0">
    <w:p w:rsidR="00911AA8" w:rsidRDefault="00911AA8" w:rsidP="0038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349357"/>
      <w:docPartObj>
        <w:docPartGallery w:val="Page Numbers (Bottom of Page)"/>
        <w:docPartUnique/>
      </w:docPartObj>
    </w:sdtPr>
    <w:sdtEndPr/>
    <w:sdtContent>
      <w:p w:rsidR="00385908" w:rsidRDefault="0038590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7C7">
          <w:rPr>
            <w:noProof/>
          </w:rPr>
          <w:t>1</w:t>
        </w:r>
        <w:r>
          <w:fldChar w:fldCharType="end"/>
        </w:r>
      </w:p>
    </w:sdtContent>
  </w:sdt>
  <w:p w:rsidR="00385908" w:rsidRDefault="0038590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A8" w:rsidRDefault="00911AA8" w:rsidP="00385908">
      <w:pPr>
        <w:spacing w:after="0" w:line="240" w:lineRule="auto"/>
      </w:pPr>
      <w:r>
        <w:separator/>
      </w:r>
    </w:p>
  </w:footnote>
  <w:footnote w:type="continuationSeparator" w:id="0">
    <w:p w:rsidR="00911AA8" w:rsidRDefault="00911AA8" w:rsidP="0038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F26"/>
    <w:rsid w:val="00010C98"/>
    <w:rsid w:val="000A467A"/>
    <w:rsid w:val="000F59A9"/>
    <w:rsid w:val="00182F18"/>
    <w:rsid w:val="00187AC8"/>
    <w:rsid w:val="001B09EC"/>
    <w:rsid w:val="001C0482"/>
    <w:rsid w:val="00247EA4"/>
    <w:rsid w:val="002B2671"/>
    <w:rsid w:val="00385908"/>
    <w:rsid w:val="005724BE"/>
    <w:rsid w:val="005B1166"/>
    <w:rsid w:val="00631D4F"/>
    <w:rsid w:val="006C41E0"/>
    <w:rsid w:val="007467C7"/>
    <w:rsid w:val="008B6F8F"/>
    <w:rsid w:val="00911AA8"/>
    <w:rsid w:val="00995A61"/>
    <w:rsid w:val="009F6134"/>
    <w:rsid w:val="00C00269"/>
    <w:rsid w:val="00C22EA1"/>
    <w:rsid w:val="00D232B2"/>
    <w:rsid w:val="00DA5333"/>
    <w:rsid w:val="00DC6409"/>
    <w:rsid w:val="00E17103"/>
    <w:rsid w:val="00EE5F26"/>
    <w:rsid w:val="00F9284C"/>
    <w:rsid w:val="00FD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7EA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8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5908"/>
  </w:style>
  <w:style w:type="paragraph" w:styleId="llb">
    <w:name w:val="footer"/>
    <w:basedOn w:val="Norml"/>
    <w:link w:val="llbChar"/>
    <w:uiPriority w:val="99"/>
    <w:unhideWhenUsed/>
    <w:rsid w:val="0038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59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716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Kisfaludi András</dc:creator>
  <cp:keywords/>
  <cp:lastModifiedBy>ELTE</cp:lastModifiedBy>
  <cp:revision>9</cp:revision>
  <dcterms:created xsi:type="dcterms:W3CDTF">2015-09-19T09:34:00Z</dcterms:created>
  <dcterms:modified xsi:type="dcterms:W3CDTF">2015-10-15T09:50:00Z</dcterms:modified>
</cp:coreProperties>
</file>